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04" w:rsidRDefault="00724004" w:rsidP="0072400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724004" w:rsidRDefault="00724004" w:rsidP="007240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724004" w:rsidRDefault="00724004" w:rsidP="0072400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4004" w:rsidRDefault="00724004" w:rsidP="0072400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0"/>
        </w:rPr>
        <w:t xml:space="preserve">      ПОСТАНОВЛЕНИЕ</w:t>
      </w:r>
      <w:r>
        <w:rPr>
          <w:b/>
          <w:bCs/>
          <w:sz w:val="20"/>
          <w:szCs w:val="20"/>
        </w:rPr>
        <w:t xml:space="preserve">  </w:t>
      </w:r>
    </w:p>
    <w:p w:rsidR="00724004" w:rsidRDefault="00724004" w:rsidP="0072400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    </w:t>
      </w:r>
    </w:p>
    <w:tbl>
      <w:tblPr>
        <w:tblpPr w:leftFromText="180" w:rightFromText="180" w:bottomFromText="160" w:vertAnchor="text" w:horzAnchor="margin" w:tblpY="53"/>
        <w:tblW w:w="5026" w:type="pct"/>
        <w:tblLook w:val="01E0" w:firstRow="1" w:lastRow="1" w:firstColumn="1" w:lastColumn="1" w:noHBand="0" w:noVBand="0"/>
      </w:tblPr>
      <w:tblGrid>
        <w:gridCol w:w="4833"/>
        <w:gridCol w:w="4787"/>
      </w:tblGrid>
      <w:tr w:rsidR="00724004" w:rsidTr="00724004">
        <w:trPr>
          <w:trHeight w:val="788"/>
        </w:trPr>
        <w:tc>
          <w:tcPr>
            <w:tcW w:w="2512" w:type="pct"/>
          </w:tcPr>
          <w:p w:rsidR="00724004" w:rsidRDefault="0072400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sz w:val="20"/>
                <w:szCs w:val="20"/>
                <w:lang w:eastAsia="en-US"/>
              </w:rPr>
            </w:pPr>
          </w:p>
          <w:p w:rsidR="00724004" w:rsidRDefault="0072400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76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bookmarkStart w:id="0" w:name="_GoBack"/>
            <w:bookmarkEnd w:id="0"/>
            <w:r>
              <w:rPr>
                <w:lang w:eastAsia="en-US"/>
              </w:rPr>
              <w:t xml:space="preserve">.02.2023 </w:t>
            </w:r>
          </w:p>
        </w:tc>
        <w:tc>
          <w:tcPr>
            <w:tcW w:w="2488" w:type="pct"/>
            <w:hideMark/>
          </w:tcPr>
          <w:p w:rsidR="00724004" w:rsidRDefault="0072400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outlineLvl w:val="1"/>
              <w:rPr>
                <w:bCs/>
                <w:iCs/>
                <w:lang w:eastAsia="x-none"/>
              </w:rPr>
            </w:pP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           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eastAsia="x-none"/>
              </w:rPr>
              <w:t xml:space="preserve">             </w:t>
            </w: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</w:t>
            </w:r>
            <w:r>
              <w:rPr>
                <w:bCs/>
                <w:iCs/>
                <w:lang w:eastAsia="x-none"/>
              </w:rPr>
              <w:t>№ 10</w:t>
            </w:r>
          </w:p>
          <w:p w:rsidR="00724004" w:rsidRDefault="0072400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ind w:right="-217"/>
              <w:jc w:val="center"/>
              <w:outlineLvl w:val="1"/>
              <w:rPr>
                <w:bCs/>
                <w:iCs/>
                <w:lang w:eastAsia="x-none"/>
              </w:rPr>
            </w:pPr>
            <w:r>
              <w:rPr>
                <w:rFonts w:ascii="Cambria" w:hAnsi="Cambria"/>
                <w:bCs/>
                <w:i/>
                <w:iCs/>
                <w:sz w:val="28"/>
                <w:szCs w:val="28"/>
                <w:lang w:val="x-none" w:eastAsia="x-none"/>
              </w:rPr>
              <w:t xml:space="preserve">                                   </w:t>
            </w:r>
          </w:p>
        </w:tc>
      </w:tr>
      <w:tr w:rsidR="00724004" w:rsidTr="00724004">
        <w:trPr>
          <w:trHeight w:val="309"/>
        </w:trPr>
        <w:tc>
          <w:tcPr>
            <w:tcW w:w="5000" w:type="pct"/>
            <w:gridSpan w:val="2"/>
          </w:tcPr>
          <w:p w:rsidR="00724004" w:rsidRDefault="0072400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Лукашкин Яр</w:t>
            </w:r>
          </w:p>
          <w:p w:rsidR="00724004" w:rsidRDefault="007240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24004" w:rsidRDefault="00724004" w:rsidP="00724004">
      <w:pPr>
        <w:spacing w:before="100" w:beforeAutospacing="1" w:after="360"/>
        <w:jc w:val="center"/>
        <w:outlineLvl w:val="1"/>
        <w:rPr>
          <w:bCs/>
        </w:rPr>
      </w:pPr>
      <w:r>
        <w:rPr>
          <w:bCs/>
        </w:rPr>
        <w:t>Об утверждении перечня объектов, в отношении которых планируется</w:t>
      </w:r>
      <w:r>
        <w:rPr>
          <w:bCs/>
        </w:rPr>
        <w:br/>
        <w:t>заключение концессионных соглашений в 2023 году</w:t>
      </w:r>
    </w:p>
    <w:p w:rsidR="00724004" w:rsidRDefault="00724004" w:rsidP="00724004">
      <w:pPr>
        <w:ind w:firstLine="567"/>
        <w:rPr>
          <w:rFonts w:eastAsia="Calibri"/>
        </w:rPr>
      </w:pPr>
      <w:r>
        <w:rPr>
          <w:rFonts w:eastAsia="Calibri"/>
        </w:rPr>
        <w:t>В целях реализации части 3 статьи 4 Федерального закона от 21 июля 2005 года N 115-ФЗ "О концессионных соглашениях" Администрация Лукашкин-Ярского сельского поселения</w:t>
      </w:r>
    </w:p>
    <w:p w:rsidR="00724004" w:rsidRDefault="00724004" w:rsidP="00724004">
      <w:pPr>
        <w:ind w:firstLine="567"/>
        <w:rPr>
          <w:rFonts w:eastAsia="Calibri"/>
        </w:rPr>
      </w:pPr>
      <w:r>
        <w:rPr>
          <w:rFonts w:eastAsia="Calibri"/>
        </w:rPr>
        <w:t>ПОСТАНОВЛЕТ:</w:t>
      </w:r>
    </w:p>
    <w:p w:rsidR="00724004" w:rsidRDefault="00724004" w:rsidP="00724004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Утвердить прилагаемый перечень объектов, в </w:t>
      </w:r>
      <w:proofErr w:type="gramStart"/>
      <w:r>
        <w:rPr>
          <w:rFonts w:eastAsia="Calibri"/>
        </w:rPr>
        <w:t>отношении</w:t>
      </w:r>
      <w:proofErr w:type="gramEnd"/>
      <w:r>
        <w:rPr>
          <w:rFonts w:eastAsia="Calibri"/>
        </w:rPr>
        <w:t xml:space="preserve"> которых планируется заключение концессионных соглашений в 2023 году.</w:t>
      </w:r>
    </w:p>
    <w:p w:rsidR="00724004" w:rsidRDefault="00724004" w:rsidP="00724004">
      <w:pPr>
        <w:tabs>
          <w:tab w:val="left" w:pos="567"/>
          <w:tab w:val="left" w:pos="1560"/>
        </w:tabs>
        <w:jc w:val="both"/>
        <w:rPr>
          <w:bCs/>
          <w:color w:val="000000"/>
        </w:rPr>
      </w:pPr>
      <w:r>
        <w:rPr>
          <w:rFonts w:eastAsia="Calibri"/>
        </w:rPr>
        <w:tab/>
        <w:t xml:space="preserve">2. </w:t>
      </w:r>
      <w:proofErr w:type="gramStart"/>
      <w:r>
        <w:rPr>
          <w:rFonts w:eastAsia="Calibri"/>
        </w:rPr>
        <w:t>Разместить</w:t>
      </w:r>
      <w:proofErr w:type="gramEnd"/>
      <w:r>
        <w:rPr>
          <w:rFonts w:eastAsia="Calibri"/>
        </w:rPr>
        <w:t xml:space="preserve"> настоящее постановление на официальном сайте</w:t>
      </w:r>
      <w:r>
        <w:t xml:space="preserve"> Администрации</w:t>
      </w:r>
      <w:r>
        <w:rPr>
          <w:i/>
        </w:rPr>
        <w:t xml:space="preserve"> </w:t>
      </w:r>
      <w:r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5" w:history="1">
        <w:r>
          <w:rPr>
            <w:rStyle w:val="a7"/>
            <w:bCs/>
            <w:lang w:eastAsia="en-US"/>
          </w:rPr>
          <w:t>http://www.alsluk.tomsk.ru/</w:t>
        </w:r>
      </w:hyperlink>
      <w:r>
        <w:rPr>
          <w:bCs/>
          <w:color w:val="000000"/>
        </w:rPr>
        <w:t>).</w:t>
      </w:r>
    </w:p>
    <w:p w:rsidR="00724004" w:rsidRDefault="00724004" w:rsidP="00724004">
      <w:pPr>
        <w:spacing w:after="160" w:line="254" w:lineRule="auto"/>
        <w:ind w:firstLine="567"/>
        <w:jc w:val="both"/>
      </w:pPr>
      <w:r>
        <w:rPr>
          <w:rFonts w:eastAsia="Calibri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24004" w:rsidRDefault="00724004" w:rsidP="00724004">
      <w:pPr>
        <w:rPr>
          <w:color w:val="000000"/>
        </w:rPr>
      </w:pPr>
    </w:p>
    <w:p w:rsidR="00724004" w:rsidRDefault="00724004" w:rsidP="00724004">
      <w:pPr>
        <w:rPr>
          <w:color w:val="000000"/>
        </w:rPr>
      </w:pPr>
    </w:p>
    <w:p w:rsidR="00724004" w:rsidRDefault="00724004" w:rsidP="00724004">
      <w:pPr>
        <w:rPr>
          <w:color w:val="000000"/>
        </w:rPr>
      </w:pPr>
    </w:p>
    <w:p w:rsidR="00724004" w:rsidRDefault="00724004" w:rsidP="00724004">
      <w:pPr>
        <w:rPr>
          <w:color w:val="000000"/>
        </w:rPr>
      </w:pPr>
      <w:r>
        <w:rPr>
          <w:color w:val="000000"/>
        </w:rPr>
        <w:t xml:space="preserve">Глава Лукашкин-Ярского сельского поселения                                                       </w:t>
      </w:r>
      <w:proofErr w:type="spellStart"/>
      <w:r>
        <w:rPr>
          <w:color w:val="000000"/>
        </w:rPr>
        <w:t>Н.А.Былин</w:t>
      </w:r>
      <w:proofErr w:type="spellEnd"/>
    </w:p>
    <w:p w:rsidR="00724004" w:rsidRDefault="00724004" w:rsidP="00724004">
      <w:pPr>
        <w:rPr>
          <w:color w:val="000000"/>
        </w:rPr>
      </w:pPr>
    </w:p>
    <w:p w:rsidR="00724004" w:rsidRDefault="00724004" w:rsidP="00724004">
      <w:pPr>
        <w:rPr>
          <w:color w:val="000000"/>
        </w:rPr>
      </w:pPr>
    </w:p>
    <w:p w:rsidR="00724004" w:rsidRDefault="00724004" w:rsidP="00724004">
      <w:pPr>
        <w:ind w:firstLine="567"/>
        <w:jc w:val="both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</w:p>
    <w:p w:rsidR="00724004" w:rsidRDefault="00724004" w:rsidP="00724004">
      <w:pPr>
        <w:spacing w:line="254" w:lineRule="auto"/>
        <w:jc w:val="right"/>
        <w:rPr>
          <w:rFonts w:eastAsia="Calibri"/>
          <w:lang w:eastAsia="en-US"/>
        </w:rPr>
      </w:pPr>
    </w:p>
    <w:p w:rsidR="00724004" w:rsidRDefault="00724004" w:rsidP="00724004">
      <w:pPr>
        <w:spacing w:line="254" w:lineRule="auto"/>
        <w:jc w:val="right"/>
        <w:rPr>
          <w:rFonts w:eastAsia="Calibri"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Перечень объектов в </w:t>
      </w:r>
      <w:proofErr w:type="gramStart"/>
      <w:r>
        <w:rPr>
          <w:rFonts w:eastAsia="Calibri"/>
          <w:lang w:eastAsia="en-US"/>
        </w:rPr>
        <w:t>отношении</w:t>
      </w:r>
      <w:proofErr w:type="gramEnd"/>
      <w:r>
        <w:rPr>
          <w:rFonts w:eastAsia="Calibri"/>
          <w:lang w:eastAsia="en-US"/>
        </w:rPr>
        <w:t xml:space="preserve"> которых </w:t>
      </w:r>
    </w:p>
    <w:p w:rsidR="00724004" w:rsidRDefault="00724004" w:rsidP="00724004">
      <w:pPr>
        <w:spacing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планируется  в 2023 году заключение концессионных соглашений</w:t>
      </w: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tbl>
      <w:tblPr>
        <w:tblStyle w:val="a6"/>
        <w:tblW w:w="9513" w:type="dxa"/>
        <w:tblInd w:w="0" w:type="dxa"/>
        <w:tblLook w:val="04A0" w:firstRow="1" w:lastRow="0" w:firstColumn="1" w:lastColumn="0" w:noHBand="0" w:noVBand="1"/>
      </w:tblPr>
      <w:tblGrid>
        <w:gridCol w:w="623"/>
        <w:gridCol w:w="1950"/>
        <w:gridCol w:w="3089"/>
        <w:gridCol w:w="2030"/>
        <w:gridCol w:w="1821"/>
      </w:tblGrid>
      <w:tr w:rsidR="00724004" w:rsidTr="0072400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объекта</w:t>
            </w:r>
          </w:p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(регионального значения)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Концендент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/исполнительные органы государственной власти области по ведомственной принадлежности объекта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Местоположение объекта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Вид работ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рамках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концессионного соглашения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(создание и (или) реконструкция)</w:t>
            </w:r>
          </w:p>
        </w:tc>
      </w:tr>
      <w:tr w:rsidR="00724004" w:rsidTr="0072400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Котельная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lang w:eastAsia="en-US"/>
              </w:rPr>
              <w:t>укашкин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Лукашкин-Ярского сельского поселения/ МУП «Комсервис»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Томская область, Александровский район,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lang w:eastAsia="en-US"/>
              </w:rPr>
              <w:t>укашкин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Яр,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ул.Береговая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>, 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реконструкция</w:t>
            </w:r>
          </w:p>
        </w:tc>
      </w:tr>
      <w:tr w:rsidR="00724004" w:rsidTr="0072400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Наружные сети тепло-водоснабжения протяженностью 432 м., Котельной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lang w:eastAsia="en-US"/>
              </w:rPr>
              <w:t>укашкин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Яр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Лукашкин-Ярского сельского поселения/ МУП «Комсервис»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Томская область, Александровский район,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/>
                <w:lang w:eastAsia="en-US"/>
              </w:rPr>
              <w:t>укашкин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Яр,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04" w:rsidRDefault="007240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реконструкция</w:t>
            </w:r>
          </w:p>
        </w:tc>
      </w:tr>
    </w:tbl>
    <w:p w:rsidR="00724004" w:rsidRDefault="00724004" w:rsidP="00724004">
      <w:pPr>
        <w:spacing w:line="254" w:lineRule="auto"/>
        <w:jc w:val="center"/>
        <w:rPr>
          <w:rFonts w:eastAsia="Calibri"/>
          <w:b/>
          <w:lang w:eastAsia="en-US"/>
        </w:rPr>
      </w:pPr>
    </w:p>
    <w:p w:rsidR="00724004" w:rsidRDefault="00724004" w:rsidP="00724004"/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DC"/>
    <w:rsid w:val="00154D66"/>
    <w:rsid w:val="003B0ADC"/>
    <w:rsid w:val="005B77F8"/>
    <w:rsid w:val="00724004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39"/>
    <w:rsid w:val="0072400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4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0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uiPriority w:val="39"/>
    <w:rsid w:val="0072400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2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2023-02-10T05:05:00Z</dcterms:created>
  <dcterms:modified xsi:type="dcterms:W3CDTF">2023-02-10T05:06:00Z</dcterms:modified>
</cp:coreProperties>
</file>