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D0" w:rsidRPr="002969D0" w:rsidRDefault="002969D0" w:rsidP="00296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ЛУКАШКИН-ЯРСКОГО СЕЛЬСКОГО ПОСЕЛЕНИЯ</w:t>
      </w:r>
    </w:p>
    <w:p w:rsidR="002969D0" w:rsidRPr="002969D0" w:rsidRDefault="002969D0" w:rsidP="00296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АЛЕКСАНДРОВСКОГО РАЙОНА  ТОМСКОЙ ОБЛАСТИ                             </w:t>
      </w:r>
    </w:p>
    <w:p w:rsidR="002969D0" w:rsidRPr="002969D0" w:rsidRDefault="002969D0" w:rsidP="00296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9D0" w:rsidRPr="002969D0" w:rsidRDefault="002969D0" w:rsidP="00296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969D0" w:rsidRPr="002969D0" w:rsidRDefault="002969D0" w:rsidP="00296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9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ПОСТАНОВЛЕНИЕ</w:t>
      </w:r>
      <w:r w:rsidRPr="0029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2969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ПРОЕКТ</w:t>
      </w:r>
      <w:r w:rsidRPr="0029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</w:p>
    <w:p w:rsidR="002969D0" w:rsidRPr="002969D0" w:rsidRDefault="002969D0" w:rsidP="0029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2" w:type="pct"/>
        <w:tblInd w:w="107" w:type="dxa"/>
        <w:tblLook w:val="01E0" w:firstRow="1" w:lastRow="1" w:firstColumn="1" w:lastColumn="1" w:noHBand="0" w:noVBand="0"/>
      </w:tblPr>
      <w:tblGrid>
        <w:gridCol w:w="4808"/>
        <w:gridCol w:w="4690"/>
      </w:tblGrid>
      <w:tr w:rsidR="002969D0" w:rsidRPr="002969D0" w:rsidTr="002969D0">
        <w:trPr>
          <w:trHeight w:val="263"/>
        </w:trPr>
        <w:tc>
          <w:tcPr>
            <w:tcW w:w="2531" w:type="pct"/>
          </w:tcPr>
          <w:p w:rsidR="002969D0" w:rsidRPr="002969D0" w:rsidRDefault="002969D0" w:rsidP="002969D0">
            <w:pPr>
              <w:spacing w:after="0"/>
              <w:ind w:right="-4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9D0" w:rsidRPr="002969D0" w:rsidRDefault="002969D0" w:rsidP="002969D0">
            <w:pPr>
              <w:spacing w:after="0"/>
              <w:ind w:right="-4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00.11.2022 </w:t>
            </w:r>
          </w:p>
        </w:tc>
        <w:tc>
          <w:tcPr>
            <w:tcW w:w="2469" w:type="pct"/>
            <w:hideMark/>
          </w:tcPr>
          <w:p w:rsidR="002969D0" w:rsidRPr="002969D0" w:rsidRDefault="002969D0" w:rsidP="002969D0">
            <w:pPr>
              <w:keepNext/>
              <w:spacing w:after="0"/>
              <w:ind w:right="-21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  <w:p w:rsidR="002969D0" w:rsidRPr="002969D0" w:rsidRDefault="002969D0" w:rsidP="002969D0">
            <w:pPr>
              <w:keepNext/>
              <w:spacing w:after="0"/>
              <w:ind w:right="-21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№  00</w:t>
            </w:r>
          </w:p>
        </w:tc>
      </w:tr>
      <w:tr w:rsidR="002969D0" w:rsidRPr="002969D0" w:rsidTr="002969D0">
        <w:trPr>
          <w:trHeight w:val="593"/>
        </w:trPr>
        <w:tc>
          <w:tcPr>
            <w:tcW w:w="5000" w:type="pct"/>
            <w:gridSpan w:val="2"/>
          </w:tcPr>
          <w:p w:rsidR="002969D0" w:rsidRPr="002969D0" w:rsidRDefault="002969D0" w:rsidP="00296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9D0" w:rsidRPr="002969D0" w:rsidRDefault="002969D0" w:rsidP="00296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Лукашкин Яр</w:t>
            </w:r>
          </w:p>
          <w:p w:rsidR="002969D0" w:rsidRPr="002969D0" w:rsidRDefault="002969D0" w:rsidP="00296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22E" w:rsidRPr="0094622E" w:rsidRDefault="0094622E" w:rsidP="00946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22E" w:rsidRPr="002969D0" w:rsidRDefault="0094622E" w:rsidP="00946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94622E" w:rsidRPr="0094622E" w:rsidRDefault="0094622E" w:rsidP="00946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27.07.2010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Лукашкин-Ярского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94622E" w:rsidRPr="0094622E" w:rsidRDefault="002969D0" w:rsidP="00946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4622E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 w:rsid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4622E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proofErr w:type="gramEnd"/>
      <w:r w:rsid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</w:t>
      </w:r>
      <w:r w:rsid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отклонение</w:t>
      </w:r>
      <w:r w:rsid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предельных</w:t>
      </w:r>
      <w:r w:rsid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параметров</w:t>
      </w:r>
      <w:r w:rsid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разрешенного</w:t>
      </w:r>
      <w:r w:rsid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</w:t>
      </w:r>
      <w:r w:rsid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реконструкции</w:t>
      </w:r>
      <w:r w:rsid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</w:t>
      </w:r>
      <w:r w:rsid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строительства.</w:t>
      </w:r>
    </w:p>
    <w:p w:rsidR="002969D0" w:rsidRPr="002969D0" w:rsidRDefault="002969D0" w:rsidP="002969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Pr="002969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</w:t>
      </w:r>
      <w:r w:rsidRPr="002969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2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</w:t>
      </w:r>
      <w:r w:rsidRPr="00296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портале </w:t>
      </w:r>
      <w:r w:rsidRPr="002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юстиции Российской Федерации</w:t>
      </w:r>
      <w:r w:rsidRPr="00296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«Нормативные правовые акты в Российской Федерации»</w:t>
      </w:r>
      <w:r w:rsidRPr="002969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hyperlink r:id="rId5" w:history="1">
        <w:r w:rsidRPr="002969D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http://pravo-minjust.ru)»</w:t>
        </w:r>
      </w:hyperlink>
      <w:r w:rsidRPr="00296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969D0" w:rsidRPr="002969D0" w:rsidRDefault="002969D0" w:rsidP="002969D0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69D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969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6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официального обнародования, постановление разместить на официальном сайте Администрации</w:t>
      </w:r>
      <w:r w:rsidRPr="002969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Лукашкин-Ярского сельского поселения Александровского района Томской области (</w:t>
      </w:r>
      <w:hyperlink r:id="rId6" w:history="1">
        <w:r w:rsidRPr="002969D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http://www.alsluk.tomsk.ru/</w:t>
        </w:r>
      </w:hyperlink>
      <w:r w:rsidRPr="0029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2969D0" w:rsidRPr="002969D0" w:rsidRDefault="002969D0" w:rsidP="002969D0">
      <w:pPr>
        <w:tabs>
          <w:tab w:val="left" w:pos="851"/>
          <w:tab w:val="left" w:pos="993"/>
          <w:tab w:val="left" w:pos="1418"/>
          <w:tab w:val="left" w:pos="170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9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 </w:t>
      </w:r>
      <w:proofErr w:type="gramStart"/>
      <w:r w:rsidRPr="002969D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69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969D0" w:rsidRPr="002969D0" w:rsidRDefault="002969D0" w:rsidP="002969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Лукашкин-Ярского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75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296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75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Н.А. Былин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43F14" w:rsidRPr="0094622E" w:rsidRDefault="00D43F14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94622E" w:rsidRPr="0094622E" w:rsidRDefault="0094622E" w:rsidP="009462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94622E" w:rsidRPr="0094622E" w:rsidRDefault="0094622E" w:rsidP="009462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Лукашкин-Ярского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94622E" w:rsidRPr="0094622E" w:rsidRDefault="0094622E" w:rsidP="009462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Административный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отклонение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предельных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параметров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разрешенного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строительства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реконструкции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строительства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услуга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заявитель).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заявителя).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дах, расположенных в помещении администрации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Лукашкин-Ярского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58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http://www.alsluk.tomsk.ru/).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портал);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tgtFrame="_blank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портал);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(http://frgu.ru)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реестр).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МФЦ);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факсимильной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услуге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/document/403258766/entry/2021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2.1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/document/403258766/entry/2023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2.3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/document/403258766/entry/2024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2.4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/document/403258766/entry/2025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2.5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anchor="/document/403258766/entry/2026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2.6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/document/403258766/entry/2028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2.8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anchor="/document/403258766/entry/2029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2.9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anchor="/document/403258766/entry/2210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2.10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anchor="/document/403258766/entry/2211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2.11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anchor="/document/403258766/entry/2051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tgtFrame="_blank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почты.</w:t>
      </w: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услуги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услуги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предоставляющего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услугу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Default="0094622E" w:rsidP="007534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Лукашкин-Ярского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регулирующих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tgtFrame="_blank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портале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услуги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anchor="/document/403258766/entry/2200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№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регламенту);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anchor="/document/403258766/entry/2300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№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регламенту).</w:t>
      </w: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Срок предоставления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муниципальной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том числе с учетом необходимости обращения в организации, участвующие в предоставлении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муниципальной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срок приостановления предоставления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муниципальной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услуги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срок выдачи (направления) документов, являющихся результатом предоставления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муниципальной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услуги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anchor="/document/403258766/entry/2023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муниципальной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также услуг, которые являются необходимыми и обязательными для предоставления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государственной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муниципальных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подлежащих представлению заявителем, способы их получения заявителем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лиц);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anchor="/document/403258766/entry/2100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№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заявления).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anchor="/document/12184522/entry/21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подписью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anchor="/document/12184522/entry/0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63-ФЗ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63-ФЗ).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tgtFrame="_blank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Единого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</w:t>
      </w:r>
      <w:proofErr w:type="gram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proofErr w:type="gramEnd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(направлены)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самоуправления;</w:t>
      </w:r>
    </w:p>
    <w:p w:rsidR="0094622E" w:rsidRPr="0094622E" w:rsidRDefault="007534E5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МФЦ;</w:t>
      </w:r>
    </w:p>
    <w:p w:rsidR="0094622E" w:rsidRPr="0094622E" w:rsidRDefault="007534E5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tgtFrame="_blank" w:history="1">
        <w:r w:rsidR="0094622E"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Единый</w:t>
        </w:r>
        <w:r w:rsid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94622E"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</w:t>
        </w:r>
      </w:hyperlink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anchor="/document/12177515/entry/101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anchor="/document/12177515/entry/706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210-ФЗ);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anchor="/document/12177515/entry/91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210-ФЗ;</w:t>
      </w:r>
      <w:proofErr w:type="gramEnd"/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(признаков)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муниципальную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услугу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anchor="/document/12177515/entry/16011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услугу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anchor="/document/12177515/entry/16011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неудобства.</w:t>
      </w: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2.7. </w:t>
      </w:r>
      <w:proofErr w:type="gramStart"/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муниципальной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которые находятся в распоряжении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государственных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органов, органов местного самоуправления и подведомственных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государственным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государственный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орган, орган местного самоуправления либо организация, в </w:t>
      </w:r>
      <w:proofErr w:type="gramStart"/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распоряжении</w:t>
      </w:r>
      <w:proofErr w:type="gramEnd"/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которых находятся данные документы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картографии;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картографии;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anchor="/document/403258766/entry/2271" w:history="1">
        <w:proofErr w:type="gramStart"/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  <w:proofErr w:type="gram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2.7.1.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anchor="/document/12184522/entry/54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квалифицированной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подписью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(несвоевременное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2.8. Исчерпывающий перечень оснований для отказа в приеме документов, необходимых для предоставления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муниципальной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услуги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лицом);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anchor="/document/403258766/entry/2026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подчистки,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истолковать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(запроса)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tgtFrame="_blank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портале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читаются;</w:t>
      </w:r>
    </w:p>
    <w:p w:rsidR="0094622E" w:rsidRPr="0094622E" w:rsidRDefault="007534E5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anchor="/document/12184522/entry/11" w:history="1">
        <w:r w:rsidR="0094622E"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</w:t>
        </w:r>
        <w:r w:rsid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94622E"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63-ФЗ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действительности,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2.9. Исчерпывающий перечень оснований для приостановления или отказа в предоставлении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муниципальной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услуги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испрашиваемого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регламентов;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территории);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постройкой.</w:t>
      </w: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2.10. Порядок, размер и основания взимания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государственной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пошлины или иной платы, взимаемой за предоставление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муниципальной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услуги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7534E5" w:rsidP="00753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униципальная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услуга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бесплатно.</w:t>
      </w: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2.11. Максимальный срок ожидания в очереди при подаче запроса о предоставлении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муниципальной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предоставляемой организацией, участвующей в предоставлении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муниципальной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 при получении результата предоставления таких услуг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2.12. Срок и порядок регистрации запроса заявителя о предоставлении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муниципальной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услуги, предоставляемой организацией, участвующей в предоставлении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муниципальной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том числе в электронной форме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tgtFrame="_blank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Единого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2.13. </w:t>
      </w:r>
      <w:proofErr w:type="gramStart"/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предоставляются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муниципальные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 залу ожидания, местам для заполнения запросов о предоставлении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муниципальной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информационным стендам с образцами их заполнения и перечнем документов, необходимых для предоставления каждой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муниципальной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стендами.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anchor="/document/10164504/entry/3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рельефно-точечным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Брайля;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собаки-проводника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anchor="/document/71145140/entry/1000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anchor="/document/71145140/entry/2000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2" w:anchor="/document/71145140/entry/0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386н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собаки-проводника,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anchor="/document/403258766/entry/221321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2.14. Показатели доступности и качества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муниципальной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услуги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tgtFrame="_blank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портале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консультаций).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радиотелефонной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tgtFrame="_blank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Единого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портала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услугу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tgtFrame="_blank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портале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(пребывания)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экстерриториальному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принципу.</w:t>
      </w: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2.15. Иные требования, в том числе учитывающие особенности предоставления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муниципальной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экстерриториальному принципу (в случае, если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муниципальная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услуга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предоставляется по экстерриториальному принципу) и особенности предоставления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муниципальной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7" w:tgtFrame="_blank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(внесудебного)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служащими.</w:t>
      </w:r>
      <w:proofErr w:type="gramEnd"/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tgtFrame="_blank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портале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Описание последовательности действий при предоставлении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муниципальной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услуги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9" w:anchor="/document/403258766/entry/2500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№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(действий)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форме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обеспечиваются: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(внесудебное)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служащего.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(действий)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форме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0" w:tgtFrame="_blank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портале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1" w:tgtFrame="_blank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портале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касающейся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ЕСИА;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2" w:tgtFrame="_blank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портале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3" w:tgtFrame="_blank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Единого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портала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4" w:tgtFrame="_blank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Единый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ГИС).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5" w:tgtFrame="_blank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Единого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портала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(документы);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6" w:anchor="/document/403408315/entry/4034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7" w:anchor="/document/12184522/entry/54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квалифицированной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подписью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8" w:tgtFrame="_blank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портале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9" w:tgtFrame="_blank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портале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0" w:anchor="/document/70282224/entry/1000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1" w:anchor="/document/70282224/entry/0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1284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досрочном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2" w:anchor="/document/12177515/entry/1102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11.2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3" w:anchor="/document/70262414/entry/0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1198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(внесудебного)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регламента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текущего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устанавливающих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решений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лиц.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внеплановых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полнотой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Лукашкин-Ярского с</w:t>
      </w:r>
      <w:r w:rsidR="00A34E9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(бездействие),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принимаемые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(осуществляемые)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Лукашкин-Ярс</w:t>
      </w:r>
      <w:r w:rsidR="00A34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(действий).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(внесудебный)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обжалования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(бездействия)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предоставляющего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услугу,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(муниципальных)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служащих</w:t>
      </w:r>
      <w:proofErr w:type="gramEnd"/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(внесудебном)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жалоба).</w:t>
      </w:r>
      <w:proofErr w:type="gramEnd"/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(внесудебном)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(внесудебном)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органа;</w:t>
      </w:r>
      <w:proofErr w:type="gramEnd"/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4" w:tgtFrame="_blank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портале</w:t>
        </w:r>
      </w:hyperlink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(представителем).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(внесудебного)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(осуществленных)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(внесудебного)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регулируется:</w:t>
      </w:r>
    </w:p>
    <w:p w:rsidR="0094622E" w:rsidRPr="0094622E" w:rsidRDefault="00D43F14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anchor="/document/12177515/entry/0" w:history="1">
        <w:r w:rsidR="0094622E"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</w:t>
        </w:r>
        <w:r w:rsid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94622E"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622E" w:rsidRPr="0094622E" w:rsidRDefault="00D43F14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anchor="/document/70262414/entry/0" w:history="1">
        <w:r w:rsidR="0094622E"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1198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системе,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досудебного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(внесудебного)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(бездействия),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совершенных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622E"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(действий)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многофункциональных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(действий)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выполняемых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многофункциональными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центрами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7" w:anchor="/document/12177515/entry/0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8" w:anchor="/document/12177515/entry/16011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заявителей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центров;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обращении);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  <w:proofErr w:type="gramEnd"/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94622E" w:rsidRPr="0094622E" w:rsidRDefault="0094622E" w:rsidP="00946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9" w:anchor="/document/55172242/entry/0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797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0" w:anchor="/document/55172242/entry/0" w:history="1">
        <w:r w:rsidRPr="00946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797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многофункциональными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записи.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действия: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заявителя);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Федерации);</w:t>
      </w:r>
      <w:proofErr w:type="gramEnd"/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Федерации);</w:t>
      </w:r>
    </w:p>
    <w:p w:rsidR="0094622E" w:rsidRP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документ;</w:t>
      </w: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смс-опросе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центром.</w:t>
      </w: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4622E" w:rsidRDefault="0094622E" w:rsidP="0094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4622E" w:rsidRPr="0094622E" w:rsidRDefault="0094622E" w:rsidP="0094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 _____________________________________________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местного самоуправления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_______________________________________________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муниципального образования)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от ____________________________________________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(для   заявителя   юридического лица  -  полное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наименование,  организационно-правовая   форма,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сведения о </w:t>
      </w:r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государственной</w:t>
      </w: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регистрации,   место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нахождения,   контактная  информация:  телефон,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эл. почта;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для заявителя физического лица -  фамилия, имя,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отчество,  паспортные  данные, регистрация   по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месту жительства, адрес фактического проживания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телефон)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Заявление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предоставлении разрешения на отклонение от предельных параметров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разрешенного строительства, реконструкции объекта капитального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строительства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Прошу предоставить разрешение на отклонение от предельных параметров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   строительства,   реконструкции   объекта      капитального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земельном участке: адрес,  кадастровый  номер,  площадь,   вид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 использования, реквизиты градостроительного плана земельного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участка (при наличии). Сведения об объекте  капитального   строительства: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 номер, площадь, этажность, назначение.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Параметры   планируемых   к   размещению   объектов    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Обоснование  запрашиваемого  отклонения  от  предельных   параметров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   строительства,   реконструкции   объекта      капитального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заявлению прилагаются следующие документы: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(указывается перечень прилагаемых документов)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Результат предоставления </w:t>
      </w:r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муниципальной</w:t>
      </w: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услуги</w:t>
      </w: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, прошу предоставить: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(указать способ получения результата предоставления </w:t>
      </w:r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государственной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муниципальной</w:t>
      </w: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услуги</w:t>
      </w: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_____________   _______________   _______________________________________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(дата)         (подпись)                    (ФИО)</w:t>
      </w: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4622E" w:rsidRPr="0094622E" w:rsidRDefault="0094622E" w:rsidP="0094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(Бланк органа,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предоставление </w:t>
      </w:r>
      <w:r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муниципальной</w:t>
      </w: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услуги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предоставлении разрешения на отклонение от предельных параметров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разрешенного строительства, реконструкции объекта капитального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строительства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от ___________ N 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</w:t>
      </w:r>
      <w:hyperlink r:id="rId71" w:anchor="/document/12138258/entry/0" w:history="1">
        <w:r w:rsidRPr="009462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Градостроительным кодексом</w:t>
        </w:r>
      </w:hyperlink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 Федерации,</w:t>
      </w:r>
    </w:p>
    <w:p w:rsidR="0094622E" w:rsidRPr="0094622E" w:rsidRDefault="00D43F14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2" w:anchor="/document/186367/entry/0" w:history="1">
        <w:r w:rsidR="0094622E" w:rsidRPr="009462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Федеральным законом</w:t>
        </w:r>
      </w:hyperlink>
      <w:r w:rsidR="0094622E"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6 октября 2003 г. N 131-Ф3  "Об  общих   принципах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местного самоуправления в Российской  Федерации",   Правилами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землепользования и застройки муниципального  образования   _____________,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утвержденными</w:t>
      </w:r>
      <w:proofErr w:type="gramEnd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________________, на основании заключения  по   результатам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публичных   слушаний/общественных   обсуждений   от       ____________ г.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N __________,  рекомендации  Комиссии  по  подготовке  проектов    правил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землепользования и застройки (протокол от ____________ г. N ___________).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Предоставить разрешение на отклонение  от  предельных  параметров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    строительства,    реконструкции   объекта    капитального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- "________________________" в отношении земельного участка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кадастровым номером ___________,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расположенного</w:t>
      </w:r>
      <w:proofErr w:type="gramEnd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(указывается адрес)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наименование предельного параметра и показатель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предоставляемого отклонения)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Опубликовать настоящее постановление в "_______________________".</w:t>
      </w:r>
    </w:p>
    <w:p w:rsidR="0094622E" w:rsidRPr="0094622E" w:rsidRDefault="00A34E9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</w:t>
      </w:r>
      <w:r w:rsidR="0094622E"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="0094622E"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решение {постановление/распоряжение)  вступает  в  силу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после его официального опубликования.</w:t>
      </w:r>
    </w:p>
    <w:p w:rsidR="0094622E" w:rsidRPr="0094622E" w:rsidRDefault="00A34E9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</w:t>
      </w:r>
      <w:r w:rsidR="0094622E"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Контроль за исполнением настоящего постановления   возложить   </w:t>
      </w:r>
      <w:proofErr w:type="gramStart"/>
      <w:r w:rsidR="0094622E"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лицо (ФИО)                ___________________________________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(подпись должностного лица органа,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осуществляющего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предоставление </w:t>
      </w:r>
      <w:proofErr w:type="gramStart"/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государственной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</w:t>
      </w:r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муниципальной</w:t>
      </w: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услуги</w:t>
      </w: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4622E" w:rsidRPr="0094622E" w:rsidRDefault="0094622E" w:rsidP="0094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(Бланк органа,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предоставление</w:t>
      </w:r>
    </w:p>
    <w:p w:rsid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муниципальной</w:t>
      </w: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услуги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 отказе в предоставлении разрешения на отклонение от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предельных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параметров разрешенного строительства, реконструкции объекта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капитального строительства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от ____________ N 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результатам рассмотрения заявления о предоставлении разрешения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отклонение  от  предельных   параметров   разрешенного     строительства,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реконструкции  объектов  капитального  строительства  и    представленных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______________________________________________________________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(Ф.И.О. физического лица, наименование юридического лица-заявителя,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дата направления заявления)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 основании ____________________________________________________________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принято решение об отказе в предоставлении разрешения на  отклонение  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предельных параметров разрешенного строительства, реконструкции  объектов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строительства в связи с: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(указывается основание отказа в предоставлении разрешения)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Настоящее решение (постановление/распоряжение) может быть обжаловано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досудебном порядке путем направления жалобы в орган, уполномоченный 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предоставление услуги (указать уполномоченный орган), а также  в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судебном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лицо (ФИО)                ___________________________________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(подпись должностного лица органа,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осуществляющего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предоставление </w:t>
      </w:r>
      <w:proofErr w:type="gramStart"/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государственной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</w:t>
      </w:r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муниципальной</w:t>
      </w: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услуги</w:t>
      </w: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4622E" w:rsidRPr="0094622E" w:rsidRDefault="0094622E" w:rsidP="0094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(Бланк органа,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предоставление </w:t>
      </w:r>
      <w:r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муниципальной</w:t>
      </w: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услуги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место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жительства - для физических лиц;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полное наименование, место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нахождения, ИНН -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юридических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лиц)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УВЕДОМЛЕНИЕ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 отказе в приеме документов, необходимых для предоставления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муниципальной</w:t>
      </w: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услуги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от _____________ N 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результатам рассмотрения заявления о предоставлении разрешения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отклонение  от  предельных   параметров   разрешенного     строительства,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реконструкции  объектов  капитального  строительства  и    представленных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документов ______________________________________________________________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(Ф.И.О. физического лица, наименование юридического лица-заявителя,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дата направления заявления)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принято  решение  об  отказе  в  приеме  документов,      необходимых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предоставления </w:t>
      </w:r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государственной</w:t>
      </w: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муниципальной</w:t>
      </w: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</w:t>
      </w:r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услуги</w:t>
      </w: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  на  отклонение  от   предельных   параметров     разрешенного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реконструкции объектов капитального строительства" в связи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с: ______________________________________________________________________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основания отказа в приеме документов, необходимых для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предоставления </w:t>
      </w:r>
      <w:r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муниципальной</w:t>
      </w: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услуги</w:t>
      </w: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Дополнительно информируем  о  возможности  повторного    обращения в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орган, уполномоченный на предоставление </w:t>
      </w:r>
      <w:proofErr w:type="gramStart"/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государственной</w:t>
      </w:r>
      <w:proofErr w:type="gramEnd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муниципальной</w:t>
      </w: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услуги</w:t>
      </w: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заявлением о предоставлении услуги после  устранения  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нарушений.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Настоящее решение (постановление/распоряжение) может быть обжаловано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досудебном порядке путем направления жалобы в орган, уполномоченный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предоставление услуги (указать уполномоченный орган), а также в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судебном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лицо (ФИО)                ___________________________________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(подпись должностного лица органа,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осуществляющего</w:t>
      </w:r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предоставление </w:t>
      </w:r>
      <w:proofErr w:type="gramStart"/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государственной</w:t>
      </w:r>
      <w:proofErr w:type="gramEnd"/>
    </w:p>
    <w:p w:rsidR="0094622E" w:rsidRPr="0094622E" w:rsidRDefault="0094622E" w:rsidP="0094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</w:t>
      </w:r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муниципальной</w:t>
      </w: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r w:rsidRPr="0094622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услуги</w:t>
      </w:r>
      <w:r w:rsidRPr="0094622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Default="0094622E" w:rsidP="0094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62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22E" w:rsidRPr="0094622E" w:rsidRDefault="0094622E" w:rsidP="0094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94622E" w:rsidRPr="0094622E" w:rsidRDefault="0094622E" w:rsidP="0094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4622E" w:rsidRDefault="0094622E" w:rsidP="0094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2E" w:rsidRPr="0094622E" w:rsidRDefault="0094622E" w:rsidP="0094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Pr="009462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муниципальной</w:t>
      </w:r>
      <w:r w:rsidRPr="009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услуги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206"/>
        <w:gridCol w:w="2084"/>
        <w:gridCol w:w="96"/>
        <w:gridCol w:w="2215"/>
        <w:gridCol w:w="87"/>
        <w:gridCol w:w="1769"/>
        <w:gridCol w:w="156"/>
        <w:gridCol w:w="1807"/>
        <w:gridCol w:w="174"/>
        <w:gridCol w:w="2115"/>
        <w:gridCol w:w="227"/>
        <w:gridCol w:w="2107"/>
        <w:gridCol w:w="166"/>
      </w:tblGrid>
      <w:tr w:rsidR="0094622E" w:rsidRPr="0094622E" w:rsidTr="0094622E">
        <w:trPr>
          <w:tblCellSpacing w:w="15" w:type="dxa"/>
        </w:trPr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Критерии принятия решения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94622E" w:rsidRPr="0094622E" w:rsidTr="0094622E">
        <w:trPr>
          <w:tblCellSpacing w:w="15" w:type="dxa"/>
        </w:trPr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4622E" w:rsidRPr="0094622E" w:rsidTr="0094622E">
        <w:trPr>
          <w:tblCellSpacing w:w="15" w:type="dxa"/>
        </w:trPr>
        <w:tc>
          <w:tcPr>
            <w:tcW w:w="15150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b/>
                <w:lang w:eastAsia="ru-RU"/>
              </w:rPr>
              <w:t>1. Проверка документов и регистрация заявления</w:t>
            </w:r>
          </w:p>
        </w:tc>
      </w:tr>
      <w:tr w:rsidR="0094622E" w:rsidRPr="0094622E" w:rsidTr="0094622E">
        <w:trPr>
          <w:trHeight w:val="240"/>
          <w:tblCellSpacing w:w="15" w:type="dxa"/>
        </w:trPr>
        <w:tc>
          <w:tcPr>
            <w:tcW w:w="22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заявления и документов для предоставления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муниципальной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услуги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в Уполномоченный орган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r:id="rId73" w:anchor="/document/403258766/entry/2028" w:history="1">
              <w:r w:rsidRPr="0094622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пунктом 2.8</w:t>
              </w:r>
            </w:hyperlink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До 1 рабочего дня</w:t>
            </w: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Уполномоченного органа, ответственного за предоставление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муниципальной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услуги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 / ГИС / ПГС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муниципальной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услуги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, и передача ему документов</w:t>
            </w:r>
          </w:p>
        </w:tc>
      </w:tr>
      <w:tr w:rsidR="0094622E" w:rsidRPr="0094622E" w:rsidTr="0094622E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622E" w:rsidRPr="0094622E" w:rsidTr="0094622E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заявления, в случае отсутствия оснований для отказа в приеме 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документов</w:t>
            </w: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Должностное лицо Уполномоченного органа, ответственное за 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регистрацию корреспонденции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Уполномоченный орган/ГИС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622E" w:rsidRPr="0094622E" w:rsidTr="0094622E">
        <w:trPr>
          <w:tblCellSpacing w:w="15" w:type="dxa"/>
        </w:trPr>
        <w:tc>
          <w:tcPr>
            <w:tcW w:w="15150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 Получение сведений посредством СМЭВ</w:t>
            </w:r>
          </w:p>
        </w:tc>
      </w:tr>
      <w:tr w:rsidR="0094622E" w:rsidRPr="0094622E" w:rsidTr="0094622E">
        <w:trPr>
          <w:tblCellSpacing w:w="15" w:type="dxa"/>
        </w:trPr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муниципальной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услуги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муниципальной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услуги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орган/ГИС/ ПГС / СМЭВ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документов, необходимых для предоставления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муниципальной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услуги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, находящихся в распоряжении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государственных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органов (организаций)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r:id="rId74" w:anchor="/document/403258766/entry/2027" w:history="1">
              <w:r w:rsidRPr="0094622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пунктом 2.7</w:t>
              </w:r>
            </w:hyperlink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94622E" w:rsidRPr="0094622E" w:rsidTr="0094622E">
        <w:trPr>
          <w:tblCellSpacing w:w="15" w:type="dxa"/>
        </w:trPr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муниципальной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услуги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орган) / ГИС / ПГС / СМЭВ</w:t>
            </w:r>
            <w:proofErr w:type="gramEnd"/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муниципальной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услуги</w:t>
            </w:r>
          </w:p>
        </w:tc>
      </w:tr>
      <w:tr w:rsidR="0094622E" w:rsidRPr="0094622E" w:rsidTr="0094622E">
        <w:trPr>
          <w:tblCellSpacing w:w="15" w:type="dxa"/>
        </w:trPr>
        <w:tc>
          <w:tcPr>
            <w:tcW w:w="15150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b/>
                <w:lang w:eastAsia="ru-RU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94622E" w:rsidRPr="0094622E" w:rsidTr="0094622E">
        <w:trPr>
          <w:tblCellSpacing w:w="15" w:type="dxa"/>
        </w:trPr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пакет зарегистрированных документов, поступивших должностному лицу, ответственному за 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предоставление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муниципальной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услуги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Проверка соответствия документов и сведений требованиям нормативных 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правовых актов предоставления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муниципальной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5 рабочих дней</w:t>
            </w: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муниципальной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услуги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основания отказа в предоставлении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муниципальной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услуги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, предусмотренные </w:t>
            </w:r>
            <w:hyperlink r:id="rId75" w:anchor="/document/403258766/entry/2029" w:history="1">
              <w:r w:rsidRPr="0094622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пунктом 2.9</w:t>
              </w:r>
            </w:hyperlink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Административного 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регламента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Принятие решения о проведении публичных слушаний или общественных обсуждений</w:t>
            </w:r>
          </w:p>
        </w:tc>
      </w:tr>
      <w:tr w:rsidR="0094622E" w:rsidRPr="0094622E" w:rsidTr="0094622E">
        <w:trPr>
          <w:tblCellSpacing w:w="15" w:type="dxa"/>
        </w:trPr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соответствие документов и сведений требованиям нормативных правовых актов предоставления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муниципальной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услуги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или общественных обсуждений</w:t>
            </w: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муниципальной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услуги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подготовка рекомендаций Комиссии</w:t>
            </w:r>
          </w:p>
        </w:tc>
      </w:tr>
      <w:tr w:rsidR="0094622E" w:rsidRPr="0094622E" w:rsidTr="0094622E">
        <w:trPr>
          <w:tblCellSpacing w:w="15" w:type="dxa"/>
        </w:trPr>
        <w:tc>
          <w:tcPr>
            <w:tcW w:w="15150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b/>
                <w:lang w:eastAsia="ru-RU"/>
              </w:rPr>
              <w:t>4. Принятие решения</w:t>
            </w:r>
          </w:p>
        </w:tc>
      </w:tr>
      <w:tr w:rsidR="0094622E" w:rsidRPr="0094622E" w:rsidTr="0094622E">
        <w:trPr>
          <w:trHeight w:val="240"/>
          <w:tblCellSpacing w:w="15" w:type="dxa"/>
        </w:trPr>
        <w:tc>
          <w:tcPr>
            <w:tcW w:w="22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проект результата предоставления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муниципальной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услуги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решения о предоставлении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муниципальной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Не более 7 дней со дня поступления рекомендаций Комиссии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муниципальной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услуги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орган) / ГИС / ПГС</w:t>
            </w:r>
            <w:proofErr w:type="gramEnd"/>
          </w:p>
        </w:tc>
        <w:tc>
          <w:tcPr>
            <w:tcW w:w="21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предоставления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муниципальной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услуги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, подписанный уполномоченным должностным лицом (усиленной </w:t>
            </w:r>
            <w:hyperlink r:id="rId76" w:anchor="/document/12184522/entry/54" w:history="1">
              <w:r w:rsidRPr="0094622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квалифицированной подписью</w:t>
              </w:r>
            </w:hyperlink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руководителем</w:t>
            </w:r>
            <w:proofErr w:type="gramEnd"/>
          </w:p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Уполномоченного органа или иного уполномоченного им лица)</w:t>
            </w:r>
            <w:proofErr w:type="gramEnd"/>
          </w:p>
        </w:tc>
      </w:tr>
      <w:tr w:rsidR="0094622E" w:rsidRPr="0094622E" w:rsidTr="0094622E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решения о предоставлении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муниципальной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До 1 часа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22E" w:rsidRPr="0094622E" w:rsidTr="0094622E">
        <w:trPr>
          <w:tblCellSpacing w:w="15" w:type="dxa"/>
        </w:trPr>
        <w:tc>
          <w:tcPr>
            <w:tcW w:w="22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06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22E" w:rsidRPr="0094622E" w:rsidTr="0094622E">
        <w:trPr>
          <w:gridAfter w:val="1"/>
          <w:wAfter w:w="225" w:type="dxa"/>
          <w:tblCellSpacing w:w="15" w:type="dxa"/>
        </w:trPr>
        <w:tc>
          <w:tcPr>
            <w:tcW w:w="148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b/>
                <w:lang w:eastAsia="ru-RU"/>
              </w:rPr>
              <w:t>5. Выдача результата</w:t>
            </w:r>
          </w:p>
        </w:tc>
      </w:tr>
      <w:tr w:rsidR="0094622E" w:rsidRPr="0094622E" w:rsidTr="0094622E">
        <w:trPr>
          <w:gridAfter w:val="1"/>
          <w:wAfter w:w="225" w:type="dxa"/>
          <w:trHeight w:val="240"/>
          <w:tblCellSpacing w:w="15" w:type="dxa"/>
        </w:trPr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 регистрация результата муниципальной услуги, указанного в </w:t>
            </w:r>
            <w:r w:rsidRPr="0094622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пункте 2.4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Административного 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регламента, в форме электронного документа в ГИС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орган)/ГИС</w:t>
            </w:r>
            <w:proofErr w:type="gramEnd"/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94622E" w:rsidRPr="0094622E" w:rsidTr="0094622E">
        <w:trPr>
          <w:gridAfter w:val="1"/>
          <w:wAfter w:w="225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в многофункциональный центр результата муниципальной услуги, указанного в </w:t>
            </w:r>
            <w:r w:rsidRPr="0094622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пункте 2.4</w:t>
            </w: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Административного регламента, в форме электронного документа, подписанного усиленной </w:t>
            </w:r>
            <w:hyperlink r:id="rId77" w:anchor="/document/12184522/entry/54" w:history="1">
              <w:r w:rsidRPr="0094622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квалифицированной электронной подписью</w:t>
              </w:r>
            </w:hyperlink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уполномоченного должностного лица Уполномоченного органа</w:t>
            </w:r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орган)/АИС МФЦ</w:t>
            </w:r>
            <w:proofErr w:type="gramEnd"/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94622E" w:rsidRPr="0094622E" w:rsidTr="0094622E">
        <w:trPr>
          <w:gridAfter w:val="1"/>
          <w:wAfter w:w="225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результата предоставления муниципальной услуги в личный кабинет на </w:t>
            </w:r>
            <w:hyperlink r:id="rId78" w:tgtFrame="_blank" w:history="1">
              <w:r w:rsidRPr="0094622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Едином портале</w:t>
              </w:r>
            </w:hyperlink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>ГИС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22E" w:rsidRPr="0094622E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2E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муниципальной услуги, направленный заявителю в личный кабинет на </w:t>
            </w:r>
            <w:hyperlink r:id="rId79" w:tgtFrame="_blank" w:history="1">
              <w:r w:rsidRPr="0094622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Едином портале</w:t>
              </w:r>
            </w:hyperlink>
          </w:p>
        </w:tc>
      </w:tr>
    </w:tbl>
    <w:p w:rsidR="0094622E" w:rsidRPr="0094622E" w:rsidRDefault="0094622E" w:rsidP="0094622E">
      <w:pPr>
        <w:spacing w:after="0"/>
        <w:ind w:firstLine="709"/>
        <w:jc w:val="both"/>
        <w:rPr>
          <w:sz w:val="24"/>
          <w:szCs w:val="24"/>
        </w:rPr>
      </w:pPr>
    </w:p>
    <w:sectPr w:rsidR="0094622E" w:rsidRPr="0094622E" w:rsidSect="009462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B99"/>
    <w:rsid w:val="0015185F"/>
    <w:rsid w:val="002969D0"/>
    <w:rsid w:val="00302EE1"/>
    <w:rsid w:val="00470CE5"/>
    <w:rsid w:val="00564F3E"/>
    <w:rsid w:val="006B5D04"/>
    <w:rsid w:val="007534E5"/>
    <w:rsid w:val="007D131B"/>
    <w:rsid w:val="007D5005"/>
    <w:rsid w:val="008A0C3C"/>
    <w:rsid w:val="008A6EC0"/>
    <w:rsid w:val="008D7944"/>
    <w:rsid w:val="0094622E"/>
    <w:rsid w:val="009D7500"/>
    <w:rsid w:val="009F7363"/>
    <w:rsid w:val="00A34E9E"/>
    <w:rsid w:val="00AC5B99"/>
    <w:rsid w:val="00C702F6"/>
    <w:rsid w:val="00D37E6B"/>
    <w:rsid w:val="00D43F14"/>
    <w:rsid w:val="00E218C5"/>
    <w:rsid w:val="00ED58B4"/>
    <w:rsid w:val="00F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622E"/>
  </w:style>
  <w:style w:type="paragraph" w:customStyle="1" w:styleId="s3">
    <w:name w:val="s_3"/>
    <w:basedOn w:val="a"/>
    <w:rsid w:val="0094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4622E"/>
    <w:rPr>
      <w:i/>
      <w:iCs/>
    </w:rPr>
  </w:style>
  <w:style w:type="character" w:customStyle="1" w:styleId="entry">
    <w:name w:val="entry"/>
    <w:basedOn w:val="a0"/>
    <w:rsid w:val="0094622E"/>
  </w:style>
  <w:style w:type="paragraph" w:customStyle="1" w:styleId="s1">
    <w:name w:val="s_1"/>
    <w:basedOn w:val="a"/>
    <w:rsid w:val="0094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62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622E"/>
    <w:rPr>
      <w:color w:val="800080"/>
      <w:u w:val="single"/>
    </w:rPr>
  </w:style>
  <w:style w:type="paragraph" w:customStyle="1" w:styleId="s9">
    <w:name w:val="s_9"/>
    <w:basedOn w:val="a"/>
    <w:rsid w:val="0094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622E"/>
  </w:style>
  <w:style w:type="paragraph" w:customStyle="1" w:styleId="s3">
    <w:name w:val="s_3"/>
    <w:basedOn w:val="a"/>
    <w:rsid w:val="0094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4622E"/>
    <w:rPr>
      <w:i/>
      <w:iCs/>
    </w:rPr>
  </w:style>
  <w:style w:type="character" w:customStyle="1" w:styleId="entry">
    <w:name w:val="entry"/>
    <w:basedOn w:val="a0"/>
    <w:rsid w:val="0094622E"/>
  </w:style>
  <w:style w:type="paragraph" w:customStyle="1" w:styleId="s1">
    <w:name w:val="s_1"/>
    <w:basedOn w:val="a"/>
    <w:rsid w:val="0094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62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622E"/>
    <w:rPr>
      <w:color w:val="800080"/>
      <w:u w:val="single"/>
    </w:rPr>
  </w:style>
  <w:style w:type="paragraph" w:customStyle="1" w:styleId="s9">
    <w:name w:val="s_9"/>
    <w:basedOn w:val="a"/>
    <w:rsid w:val="0094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9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0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83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9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6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06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5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9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7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5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14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2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8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94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9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74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5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05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9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4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7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1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8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8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0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3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55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8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6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56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09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84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4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0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7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1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26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65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8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4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91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9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3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4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26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0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0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0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7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16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4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8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2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5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73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04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4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3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6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9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www.gosuslugi.ru" TargetMode="External"/><Relationship Id="rId26" Type="http://schemas.openxmlformats.org/officeDocument/2006/relationships/hyperlink" Target="https://www.gosuslugi.ru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www.gosuslugi.ru" TargetMode="External"/><Relationship Id="rId50" Type="http://schemas.openxmlformats.org/officeDocument/2006/relationships/hyperlink" Target="https://www.gosuslugi.ru" TargetMode="External"/><Relationship Id="rId55" Type="http://schemas.openxmlformats.org/officeDocument/2006/relationships/hyperlink" Target="https://www.gosuslugi.ru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7" Type="http://schemas.openxmlformats.org/officeDocument/2006/relationships/hyperlink" Target="https://www.gosuslugi.ru" TargetMode="External"/><Relationship Id="rId71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www.gosuslugi.ru" TargetMode="External"/><Relationship Id="rId53" Type="http://schemas.openxmlformats.org/officeDocument/2006/relationships/hyperlink" Target="https://www.gosuslugi.ru" TargetMode="External"/><Relationship Id="rId58" Type="http://schemas.openxmlformats.org/officeDocument/2006/relationships/hyperlink" Target="https://www.gosuslugi.ru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www.gosuslugi.ru" TargetMode="External"/><Relationship Id="rId5" Type="http://schemas.openxmlformats.org/officeDocument/2006/relationships/hyperlink" Target="http://pravo-minjust.ru)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www.gosuslugi.ru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www.gosuslugi.ru" TargetMode="External"/><Relationship Id="rId52" Type="http://schemas.openxmlformats.org/officeDocument/2006/relationships/hyperlink" Target="https://www.gosuslugi.ru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www.gosuslugi.ru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www.gosuslugi.ru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www.gosuslugi.ru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www.gosuslugi.ru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www.gosuslugi.ru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www.gosuslugi.ru" TargetMode="External"/><Relationship Id="rId46" Type="http://schemas.openxmlformats.org/officeDocument/2006/relationships/hyperlink" Target="https://www.gosuslugi.ru" TargetMode="External"/><Relationship Id="rId59" Type="http://schemas.openxmlformats.org/officeDocument/2006/relationships/hyperlink" Target="https://www.gosuslugi.ru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www.gosuslugi.ru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sluk.tomsk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www.gosuslugi.ru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11045</Words>
  <Characters>62960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Пользователь Windows</cp:lastModifiedBy>
  <cp:revision>8</cp:revision>
  <dcterms:created xsi:type="dcterms:W3CDTF">2022-11-16T05:22:00Z</dcterms:created>
  <dcterms:modified xsi:type="dcterms:W3CDTF">2022-11-22T04:50:00Z</dcterms:modified>
</cp:coreProperties>
</file>